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137</w:t>
      </w:r>
    </w:p>
    <w:p>
      <w:r>
        <w:t>Bundesgericht (BGE), 2008-05-21, DE</w:t>
      </w:r>
    </w:p>
    <w:p>
      <w:r>
        <w:rPr>
          <w:b/>
        </w:rPr>
        <w:t xml:space="preserve">Quelle: </w:t>
      </w:r>
      <w:r>
        <w:t>https://mcp.opencaselaw.ch/entscheid/bge_151 V 137</w:t>
      </w:r>
    </w:p>
    <w:p>
      <w:r>
        <w:t>FR: ATF 151 V 137</w:t>
      </w:r>
    </w:p>
    <w:p>
      <w:r>
        <w:t>IT: DTF 151 V 137</w:t>
      </w:r>
    </w:p>
    <w:p>
      <w:pPr>
        <w:pStyle w:val="Heading2"/>
      </w:pPr>
      <w:r>
        <w:t>Regeste</w:t>
      </w:r>
    </w:p>
    <w:p>
      <w:r>
        <w:t>Regeste Art. 20 ATSG; Art. 132 ZGB; Drittauszahlung sozialversicherungsrechtlicher Leistungen aufgrund einer Anweisung des Zivilgerichts. Eine vom Zivilgericht gestützt auf Art. 132 ZGB angeordnete Anweisung zur Drittauszahlung eines Teils der dem Versicherten zustehenden Leistungen ist sozialversicherungsrechtlich gleich zu behandeln wie solche, die gestützt auf Art. 177 oder 291 ZGB ergehen. Somit kann die geschiedene Ehefrau gestützt auf eine solche Anweisung eine (teilweise) Drittauszahlung der ihrem ehemaligen Ehemann zustehenden Altersrente an sich selber verlangen (E. 2, 4 und 5).</w:t>
      </w:r>
    </w:p>
    <w:p>
      <w:pPr>
        <w:pStyle w:val="Heading2"/>
      </w:pPr>
      <w:r>
        <w:t>Erwägungen</w:t>
      </w:r>
    </w:p>
    <w:p>
      <w:r>
        <w:rPr>
          <w:b/>
        </w:rPr>
        <w:t>E. 2</w:t>
      </w:r>
    </w:p>
    <w:p>
      <w:r>
        <w:t>Streitig und zu prüfen ist, ob das Bundesverwaltungsgericht Bundesrecht verletzte, als es einen Einspracheentscheid der SAK aufhob und damit bestätigte, dass aufgrund einer Anweisung des Zivilgerichts im Sinne von Art. 132 ZGB ein Teil der Altersrente des Versicherten dessen ehemaliger Ehefrau auszuzahlen ist. (...)</w:t>
      </w:r>
    </w:p>
    <w:p>
      <w:r>
        <w:rPr>
          <w:b/>
        </w:rPr>
        <w:t>E. 4.1</w:t>
      </w:r>
    </w:p>
    <w:p>
      <w:r>
        <w:t>Gemäss Art. 20 ATSG können Geldleistungen ganz oder teilweise einem geeigneten Dritten oder einer Behörde ausbezahlt werden, der oder die der berechtigten Person gegenüber gesetzlich oder sittlich unterstützungspflichtig ist oder diese dauernd fürsorgerisch betreut, sofern die in dieser Bestimmung definierten Voraussetzungen gegeben sind. Es steht fest und ist unbestritten, dass diese vorliegend nicht erfüllt sind, ist doch die Beschwerdegegnerin gegenüber dem Versicherten unterstützungsberechtigt und nicht -verpflichtet.</w:t>
      </w:r>
    </w:p>
    <w:p>
      <w:r>
        <w:rPr>
          <w:b/>
        </w:rPr>
        <w:t>E. 4.2</w:t>
      </w:r>
    </w:p>
    <w:p>
      <w:r>
        <w:t>Die vom BSV erlassene Wegleitung über die Renten (RWL) in der Eidgenössischen Alters-, Hinterlassenen- und Invalidenversicherung (Stand 1. Januar 2020) anerkennt im Weiteren im Einklang mit BGE 146 V 265 , dass Anweisungen des Zivilrichters über die Auszahlung der Renten des Ehegatten, welcher seine Unterhaltspflicht während der Eheschutzmassnahme gegenüber seiner Familie nicht erfüllt (vgl. Art. 177 ZGB ), für die Ausgleichskasse verbindlich sind (Rz. 10051 RWL). Für die Renten der Eltern, welche die Sorge für ihr Kind vernachlässigen ( Art. 291 ZGB ), gilt das Gleiche (Rz. 10052 RWL). Hingegen darf gemäss Rz. 10053 RWL der in einem Scheidungsurteil festgehaltenen zivilrichterlichen Anweisung, Renten des unterhaltspflichtigen Ex-Ehepartners an den unterhaltsberechtigten Ex-Ehepartner auszurichten ( Art. 132 ZGB ), nicht gefolgt werden. BGE 151 V 137 S. 140</w:t>
      </w:r>
    </w:p>
    <w:p>
      <w:r>
        <w:rPr>
          <w:b/>
        </w:rPr>
        <w:t>E. 4.3</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w:t>
      </w:r>
    </w:p>
    <w:p>
      <w:r>
        <w:rPr>
          <w:b/>
        </w:rPr>
        <w:t>E. 5.1</w:t>
      </w:r>
    </w:p>
    <w:p>
      <w:r>
        <w:t>Das Bundesverwaltungsgericht hat im Wesentlichen erwogen, es sei kein Grund ersichtlich, weshalb die vom Bundesgericht in BGE 146 V 265 anerkannte Verbindlichkeit der nach Art. 177 ZGB (Eheschutz) und Art. 291 ZGB (Kindesunterhalt) getroffenen Anweisungen des Zivilrichters über die Auszahlung der Renten für Anweisungen nach Art. 132 ZGB (nachehelicher Unterhalt) nicht gelten soll. Hier wie da bezwecke die Schuldneranweisung die Sicherung des Unterhalts- oder Unterstützungsbeitrages der berechtigten Person. Daran vermöge auch der Umstand nichts zu ändern, dass der Versicherungsträger nicht Partei des Scheidungsverfahrens war und daher keine Möglichkeit hatte, das Zivilurteil betreffend die Schuldneranweisung anzufechten.</w:t>
      </w:r>
    </w:p>
    <w:p>
      <w:r>
        <w:rPr>
          <w:b/>
        </w:rPr>
        <w:t>E. 5.2</w:t>
      </w:r>
    </w:p>
    <w:p>
      <w:r>
        <w:t>Beizupflichten ist dem Beschwerdeführer insofern, als er geltend macht, Art. 20 ATSG regle die Drittauszahlung von Renten grundsätzlich abschliessend ( BGE 146 V 265 E. 3.1.2; vgl. auch Urteil 5P.474/2005 vom 8. März 2006 E. 2.3), und er darauf hinweist, dass die Renten der ersten Säule in Anwendung von Art. 92 Abs. 1 Ziff. 9a SchKG unpfändbar sind. Diese Aspekte gelten jedoch unabhängig davon, ob die Schuldneranweisung im Rahmen von Art. 177 ZGB , Art. 291 ZGB oder Art. 132 ZGB angeordnet wird. Entsprechend hat das Bundesgericht diese in seinem Leiturteil BGE 146 V 265 in seine Erwägungen miteinbezogen, sah sie indessen nicht als gewichtig genug an, um zu einer anderen rechtlichen Beurteilung zu gelangen. Das beschwerdeführende BSV macht denn auch zu Recht nicht geltend, diesbezüglich seien die Voraussetzungen für eine Praxisänderung (vgl. BGE 149 II 381 E. 7.3.1; BGE 147 V 342 E. 5.5.1) erfüllt. Steht demnach ein Zurückkommen auf BGE 146 V 265 nicht zur Diskussion, so interessiert - wie das BGE 151 V 137 S. 141 Bundesverwaltungsgericht zutreffend erwogen hat - vorliegend einzig noch die Frage, ob sich eine Schuldneranweisung nach Art. 132 ZGB einerseits von solchen nach Art. 177 oder Art. 291 ZGB andererseits aus sozialversicherungsrechtlicher Sicht hinreichend unterscheidet, um eine unterschiedliche Behandlung zu rechtfertigen. Da die erwähnten Aspekte unabhängig von der rechtlichen Grundlage der Schuldneranweisung gelten, kann aus diesen nichts für die Beantwortung der Frage, ob sich eine unterschiedliche Beurteilung rechtfertigt, abgeleitet werden.</w:t>
      </w:r>
    </w:p>
    <w:p>
      <w:r>
        <w:rPr>
          <w:b/>
        </w:rPr>
        <w:t>E. 5.3</w:t>
      </w:r>
    </w:p>
    <w:p>
      <w:r>
        <w:t>Das beschwerdeführende BSV bringt weiter vor, mit der Scheidung habe sowohl die eheliche Gemeinschaft als auch die eheliche Beistands- und Unterhaltspflicht aufgehört zu existieren. Anders als im Eheschutzverfahren (so explizit BGE 146 V 265 E. 3.2.2) könne daher für den nachehelichen Unterhalt nicht argumentiert werden, durch die Schuldneranweisung werde der berechtigte Ehegatte ermächtigt, die Leistungen der Sozialversicherung für die eheliche Gemeinschaft entgegenzunehmen. Zudem habe das Unterhaltsrecht in den letzten Jahren eine Entwicklung durchlaufen und betone nunmehr stärker die Eigenverantwortung, wonach nach einer Scheidung jeder Ehegatte grundsätzlich für sich selber zu sorgen habe. Weiter handle es sich bei einer Schuldneranweisung nach Art. 177 ZGB anders als bei einer solchen nach Art. 132 ZGB um eine vorsorgliche Massnahme, mit der die Auszahlung nur provisorisch, bis zum späteren Hauptentscheid, geregelt werde.</w:t>
      </w:r>
    </w:p>
    <w:p>
      <w:r>
        <w:rPr>
          <w:b/>
        </w:rPr>
        <w:t>E. 5.4</w:t>
      </w:r>
    </w:p>
    <w:p>
      <w:r>
        <w:t>Es trifft zu, dass mit der Scheidung sowohl die eheliche Gemeinschaft als auch die eheliche Beistands- und Unterhaltspflicht zu existieren aufhört. Daraus kann indessen nicht gefolgert werden, dass eine geschiedene Ehe keine Nachwirkungen zeitigen würde. Gerade das Recht des nachehelichen Unterhalts ist das idealtypische Beispiel für eine solche Nachwirkung. Zwar unterliegen die Anschauungen darüber, in welchen Situationen und in welchem Umfang Unterhaltsbeiträge nach einer Scheidung geschuldet sein sollen, dem gesellschaftlichen Wandel. Dabei obliegt jedoch deren Festsetzung dem Zivilrecht (bzw. im Einzelfall dem Zivilgericht). Das Zivilrecht ordnet in Art. 132 Abs. 1 ZGB im Bewusstsein des Umstandes, dass die eheliche Gemeinschaft mit der Scheidung endet, an, dass das Zivilgericht den Schuldner der zum Unterhalt verpflichteten Person anweisen kann, die Zahlungen ganz oder teilweise an die berechtigte Person zu leisten. Besondere Gründe, weshalb das Sozialversicherungsrecht im vorliegenden Zusammenhang von den BGE 151 V 137 S. 142 Wertungen des Zivilrechts abweichen sollte, sind keine ersichtlich. Der Beschwerdeführer argumentiert denn auch nicht etwa sozialversicherungsrechtlich, sondern familienrechtlich (Wirkung der Scheidung, Charakter der Anordnungen im Eheschutzverfahren als vorsorgliche Massnahme). Familienrechtliche Einwände gegen die Ausgestaltung der familienrechtlichen Regelungen können jedoch keinen Grund darstellen, der zivilrechtlichen Regelung im Sozialversicherungsrecht die Geltung zu versagen (vgl. BGE 146 V 265 E. 3.2.3). Die in der RWL getroffene Unterscheidung zwischen Anordnungen im Rahmen der Art. 177 und Art. 291 ZGB einerseits und Art. 132 ZGB andererseits - welche im Übrigen auch nicht im Einklang mit der zivilrechtlichen Praxis steht, die drei Arten der Schuldneranweisung (sowie im Übrigen auch diejenige nach Art. 13 Abs. 3 und Art. 34 Abs. 2 PartG [SR 211.231]) gleich zu behandeln (vgl. Urteil 5A_158/2020 vom 21. Dezember 2020 E. 3.1; vgl. auch CHRISTIANA FOUNTOULAKIS, in: Basler Kommentar, Zivilgesetzbuch, Bd. I, 7. Aufl. 2022, N. 8 f. zu Art. 132 ZGB , wo denn auch auf die Kommentierung zu Art. 177 und Art. 291 ZGB verwiesen wird) - stellt demnach keine überzeugende Konkretisierung der rechtlichen Vorgaben dar, weshalb ihr vorliegend nicht gefolgt werden kann.</w:t>
      </w:r>
    </w:p>
    <w:p>
      <w:r>
        <w:rPr>
          <w:b/>
        </w:rPr>
        <w:t>E. 5.5</w:t>
      </w:r>
    </w:p>
    <w:p>
      <w:r>
        <w:t>Somit ist eine vom Zivilgericht gestützt auf Art. 132 ZGB angeordnete Anweisung zur Drittauszahlung eines Teils der dem Versicherten zustehenden Leistungen gleich zu behandeln wie solche gestützt auf Art. 177 oder Art. 291 ZGB und die Voraussetzungen für eine Praxisänderung im Sinne eines Zurückkommens auf BGE 146 V 265 sind nicht erfüllt. Folglich verletzte das Bundesverwaltungsgericht entgegen den Ausführungen des beschwerdeführenden BSV kein Bundesrecht, als es die Anweisung als für die Ausgleichskasse verbindlich erachtete. Entsprechend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